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268 группа/Техническая механика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1. Изучить материал и написать конспект в тетрадь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2. Выполнить практическое задание</w:t>
      </w:r>
    </w:p>
    <w:p>
      <w:pPr>
        <w:spacing w:after="180" w:line="240" w:lineRule="auto"/>
        <w:textAlignment w:val="baseline"/>
        <w:outlineLvl w:val="0"/>
        <w:rPr>
          <w:rFonts w:ascii="inherit" w:hAnsi="inherit" w:eastAsia="Times New Roman" w:cs="Times New Roman"/>
          <w:caps/>
          <w:kern w:val="36"/>
          <w:sz w:val="28"/>
          <w:szCs w:val="28"/>
          <w:lang w:eastAsia="ru-RU"/>
        </w:rPr>
      </w:pPr>
    </w:p>
    <w:p>
      <w:pPr>
        <w:spacing w:after="180" w:line="240" w:lineRule="auto"/>
        <w:textAlignment w:val="baseline"/>
        <w:outlineLvl w:val="0"/>
        <w:rPr>
          <w:rFonts w:ascii="inherit" w:hAnsi="inherit" w:eastAsia="Times New Roman" w:cs="Times New Roman"/>
          <w:caps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inherit" w:hAnsi="inherit" w:eastAsia="Times New Roman" w:cs="Times New Roman"/>
          <w:caps/>
          <w:kern w:val="36"/>
          <w:sz w:val="28"/>
          <w:szCs w:val="28"/>
          <w:lang w:eastAsia="ru-RU"/>
        </w:rPr>
        <w:t xml:space="preserve">                           Практическая работа</w:t>
      </w:r>
    </w:p>
    <w:p>
      <w:pPr>
        <w:spacing w:after="180" w:line="240" w:lineRule="auto"/>
        <w:textAlignment w:val="baseline"/>
        <w:outlineLvl w:val="0"/>
        <w:rPr>
          <w:rFonts w:ascii="inherit" w:hAnsi="inherit" w:eastAsia="Times New Roman" w:cs="Times New Roman"/>
          <w:caps/>
          <w:kern w:val="36"/>
          <w:sz w:val="28"/>
          <w:szCs w:val="28"/>
          <w:lang w:eastAsia="ru-RU"/>
        </w:rPr>
      </w:pPr>
      <w:r>
        <w:rPr>
          <w:rFonts w:ascii="inherit" w:hAnsi="inherit" w:eastAsia="Times New Roman" w:cs="Times New Roman"/>
          <w:caps/>
          <w:kern w:val="36"/>
          <w:sz w:val="28"/>
          <w:szCs w:val="28"/>
          <w:lang w:eastAsia="ru-RU"/>
        </w:rPr>
        <w:t>Тема : РАСЧЕТ ШПОНОЧНЫХ и шлицевых СОЕДИНЕНИЙ</w:t>
      </w: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hint="eastAsia" w:ascii="inherit" w:hAnsi="inherit" w:eastAsia="Times New Roman" w:cs="Arial"/>
          <w:color w:val="2B2B2B"/>
          <w:sz w:val="26"/>
          <w:szCs w:val="26"/>
          <w:lang w:eastAsia="ru-RU"/>
        </w:rPr>
        <w:t>Ц</w:t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ель работы: Изучить расчет шпоночных и шлицевых соединений</w:t>
      </w: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hint="eastAsia" w:ascii="inherit" w:hAnsi="inherit" w:eastAsia="Times New Roman" w:cs="Arial"/>
          <w:color w:val="2B2B2B"/>
          <w:sz w:val="26"/>
          <w:szCs w:val="26"/>
          <w:lang w:eastAsia="ru-RU"/>
        </w:rPr>
        <w:t>О</w:t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бщие сведения:</w:t>
      </w: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</w:p>
    <w:p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4"/>
          <w:szCs w:val="24"/>
          <w:lang w:eastAsia="ru-RU"/>
        </w:rPr>
        <w:t>Для </w:t>
      </w:r>
      <w:r>
        <w:fldChar w:fldCharType="begin"/>
      </w:r>
      <w:r>
        <w:instrText xml:space="preserve"> HYPERLINK "https://isopromat.ru/dm/lekcii-po-detalyam-mashin/vidy-i-naznachenie-mehanicheskih-peredach"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передачи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2B2B2B"/>
          <w:sz w:val="24"/>
          <w:szCs w:val="24"/>
          <w:lang w:eastAsia="ru-RU"/>
        </w:rPr>
        <w:t> вращающего </w:t>
      </w:r>
      <w:r>
        <w:fldChar w:fldCharType="begin"/>
      </w:r>
      <w:r>
        <w:instrText xml:space="preserve"> HYPERLINK "https://isopromat.ru/glossary/moment"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момента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от </w:t>
      </w:r>
      <w:r>
        <w:fldChar w:fldCharType="begin"/>
      </w:r>
      <w:r>
        <w:instrText xml:space="preserve"> HYPERLINK "https://isopromat.ru/dm/lekcii-po-detalyam-mashin/valy-i-osi"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вала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2B2B2B"/>
          <w:sz w:val="24"/>
          <w:szCs w:val="24"/>
          <w:lang w:eastAsia="ru-RU"/>
        </w:rPr>
        <w:t> к ступице и наоборот применяют шпонки и </w:t>
      </w:r>
      <w:r>
        <w:fldChar w:fldCharType="begin"/>
      </w:r>
      <w:r>
        <w:instrText xml:space="preserve"> HYPERLINK "https://isopromat.ru/dm/lekcii-po-detalyam-mashin/raschet-shlicevyh-soedinenij"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шлицевые соединения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2B2B2B"/>
          <w:sz w:val="24"/>
          <w:szCs w:val="24"/>
          <w:lang w:eastAsia="ru-RU"/>
        </w:rPr>
        <w:t xml:space="preserve"> Шпонка устанавливается в пазах двух соприкасающихся </w:t>
      </w:r>
      <w:r>
        <w:fldChar w:fldCharType="begin"/>
      </w:r>
      <w:r>
        <w:instrText xml:space="preserve"> HYPERLINK "https://isopromat.ru/tmm/kratkij-kurs/osnovnye-ponyatia"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деталей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>
      <w:pPr>
        <w:shd w:val="clear" w:color="auto" w:fill="FFFFFF"/>
        <w:spacing w:after="360" w:line="240" w:lineRule="auto"/>
        <w:jc w:val="both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4"/>
          <w:szCs w:val="24"/>
          <w:lang w:eastAsia="ru-RU"/>
        </w:rPr>
        <w:t>В машиностроении применяют ненапряженные соединения, осуществляемые призматическими или сегментными шпонками и напряженные соединения, осуществляемые клиновыми шпонками.Призматические шпонки выполняют прямоугольного сечения с плоскими или скругленными концами. Основным расчетом для соединений с призматическими шпонками является условный расчет на смятие</w:t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.</w:t>
      </w: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drawing>
          <wp:inline distT="0" distB="0" distL="0" distR="0">
            <wp:extent cx="1962150" cy="1647825"/>
            <wp:effectExtent l="0" t="0" r="0" b="9525"/>
            <wp:docPr id="4" name="Рисунок 4" descr="https://isopromat.ru/wp-content/uploads/is-3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isopromat.ru/wp-content/uploads/is-30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center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Соединение призматической шпонкой</w:t>
      </w:r>
    </w:p>
    <w:p>
      <w:pPr>
        <w:shd w:val="clear" w:color="auto" w:fill="FFFFFF"/>
        <w:spacing w:after="0" w:line="240" w:lineRule="auto"/>
        <w:jc w:val="center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а – шпонка со скруглёнными концами;</w:t>
      </w:r>
    </w:p>
    <w:p>
      <w:pPr>
        <w:shd w:val="clear" w:color="auto" w:fill="FFFFFF"/>
        <w:spacing w:after="0" w:line="240" w:lineRule="auto"/>
        <w:jc w:val="center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б – шпонка с плоскими концами:</w:t>
      </w:r>
    </w:p>
    <w:p>
      <w:pPr>
        <w:shd w:val="clear" w:color="auto" w:fill="FFFFFF"/>
        <w:spacing w:after="0" w:line="240" w:lineRule="auto"/>
        <w:jc w:val="center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Рисунок 24</w:t>
      </w: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drawing>
          <wp:inline distT="0" distB="0" distL="0" distR="0">
            <wp:extent cx="4314825" cy="1733550"/>
            <wp:effectExtent l="0" t="0" r="9525" b="0"/>
            <wp:docPr id="5" name="Рисунок 5" descr="https://isopromat.ru/wp-content/uploads/is-3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isopromat.ru/wp-content/uploads/is-31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center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Рисунок 25</w:t>
      </w: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drawing>
          <wp:inline distT="0" distB="0" distL="0" distR="0">
            <wp:extent cx="1771650" cy="733425"/>
            <wp:effectExtent l="0" t="0" r="0" b="9525"/>
            <wp:docPr id="6" name="Рисунок 6" descr="https://isopromat.ru/wp-content/uploads/is-3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ttps://isopromat.ru/wp-content/uploads/is-31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где t -глубина врезания шпонки в ступицу;</w:t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br w:type="textWrapping"/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рабочая длина шпонки l</w:t>
      </w:r>
      <w:r>
        <w:rPr>
          <w:rFonts w:ascii="inherit" w:hAnsi="inherit" w:eastAsia="Times New Roman" w:cs="Arial"/>
          <w:color w:val="2B2B2B"/>
          <w:sz w:val="19"/>
          <w:szCs w:val="19"/>
          <w:vertAlign w:val="subscript"/>
          <w:lang w:eastAsia="ru-RU"/>
        </w:rPr>
        <w:t>p</w:t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 =1-b.</w:t>
      </w: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Если </w:t>
      </w:r>
      <w:r>
        <w:fldChar w:fldCharType="begin"/>
      </w:r>
      <w:r>
        <w:instrText xml:space="preserve"> HYPERLINK "https://isopromat.ru/sopromat/teoria/uslovie-prochnosti" </w:instrText>
      </w:r>
      <w:r>
        <w:fldChar w:fldCharType="separate"/>
      </w:r>
      <w:r>
        <w:rPr>
          <w:rFonts w:ascii="inherit" w:hAnsi="inherit" w:eastAsia="Times New Roman" w:cs="Arial"/>
          <w:color w:val="00A5E6"/>
          <w:sz w:val="26"/>
          <w:szCs w:val="26"/>
          <w:u w:val="single"/>
          <w:lang w:eastAsia="ru-RU"/>
        </w:rPr>
        <w:t>условие прочности</w:t>
      </w:r>
      <w:r>
        <w:rPr>
          <w:rFonts w:ascii="inherit" w:hAnsi="inherit" w:eastAsia="Times New Roman" w:cs="Arial"/>
          <w:color w:val="00A5E6"/>
          <w:sz w:val="26"/>
          <w:szCs w:val="26"/>
          <w:u w:val="single"/>
          <w:lang w:eastAsia="ru-RU"/>
        </w:rPr>
        <w:fldChar w:fldCharType="end"/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 не выполняется, то соединение образуют с помощью двух шпонок, установленных под углом 120 или 180 градусов.</w:t>
      </w:r>
    </w:p>
    <w:p>
      <w:pPr>
        <w:shd w:val="clear" w:color="auto" w:fill="FFFFFF"/>
        <w:spacing w:after="36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Условие прочности на срез стандартных шпонок обеспечено при стандартизации. При проектировании соответствующая проверка не требуется.</w:t>
      </w:r>
    </w:p>
    <w:p>
      <w:pPr>
        <w:shd w:val="clear" w:color="auto" w:fill="FFFFFF"/>
        <w:spacing w:after="36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Сегментные шпонки имеют более глубокую посадку и не перекашиваются под нагрузкой, они взаимозаменяемы. Однако глубокий паз существенно ослабляет вал.</w:t>
      </w: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drawing>
          <wp:inline distT="0" distB="0" distL="0" distR="0">
            <wp:extent cx="3105150" cy="1657350"/>
            <wp:effectExtent l="0" t="0" r="0" b="0"/>
            <wp:docPr id="7" name="Рисунок 7" descr="https://isopromat.ru/wp-content/uploads/is-3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s://isopromat.ru/wp-content/uploads/is-31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center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Рисунок 26</w:t>
      </w:r>
    </w:p>
    <w:p>
      <w:pPr>
        <w:shd w:val="clear" w:color="auto" w:fill="FFFFFF"/>
        <w:spacing w:after="0" w:line="240" w:lineRule="auto"/>
        <w:jc w:val="center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Сегментные шпонки характеризуются двумя основными параметрами: шириной b и диаметром заготовки d</w:t>
      </w:r>
      <w:r>
        <w:rPr>
          <w:rFonts w:ascii="inherit" w:hAnsi="inherit" w:eastAsia="Times New Roman" w:cs="Arial"/>
          <w:color w:val="2B2B2B"/>
          <w:sz w:val="19"/>
          <w:szCs w:val="19"/>
          <w:vertAlign w:val="subscript"/>
          <w:lang w:eastAsia="ru-RU"/>
        </w:rPr>
        <w:t>1</w:t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. Высоту шпонки h выбирают около 0,4d</w:t>
      </w:r>
      <w:r>
        <w:rPr>
          <w:rFonts w:ascii="inherit" w:hAnsi="inherit" w:eastAsia="Times New Roman" w:cs="Arial"/>
          <w:color w:val="2B2B2B"/>
          <w:sz w:val="19"/>
          <w:szCs w:val="19"/>
          <w:vertAlign w:val="subscript"/>
          <w:lang w:eastAsia="ru-RU"/>
        </w:rPr>
        <w:t>1</w:t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. Длина шпонки близка к d</w:t>
      </w:r>
      <w:r>
        <w:rPr>
          <w:rFonts w:ascii="inherit" w:hAnsi="inherit" w:eastAsia="Times New Roman" w:cs="Arial"/>
          <w:color w:val="2B2B2B"/>
          <w:sz w:val="19"/>
          <w:szCs w:val="19"/>
          <w:vertAlign w:val="subscript"/>
          <w:lang w:eastAsia="ru-RU"/>
        </w:rPr>
        <w:t>1</w:t>
      </w: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drawing>
          <wp:inline distT="0" distB="0" distL="0" distR="0">
            <wp:extent cx="1666875" cy="628650"/>
            <wp:effectExtent l="0" t="0" r="9525" b="0"/>
            <wp:docPr id="8" name="Рисунок 8" descr="https://isopromat.ru/wp-content/uploads/is-3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ttps://isopromat.ru/wp-content/uploads/is-31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360" w:line="240" w:lineRule="auto"/>
        <w:jc w:val="both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Клиновые шпонки представляют собой клинья с уклоном 1:100. В отличие от призматических, у клиновых шпонок рабочими являются широкие грани, а на боковых гранях имеется зазор.Клиновые шпонки создают напряженное соединение, способное передавать вращающий момент, осевую силу и ударные нагрузки. Однако они вызывают радиальные смещения оси ступицы по отношению к оси вала на величину радиального посадочного зазора и контактных </w:t>
      </w:r>
      <w:r>
        <w:fldChar w:fldCharType="begin"/>
      </w:r>
      <w:r>
        <w:instrText xml:space="preserve"> HYPERLINK "https://isopromat.ru/glossary/deformacii" </w:instrText>
      </w:r>
      <w:r>
        <w:fldChar w:fldCharType="separate"/>
      </w:r>
      <w:r>
        <w:rPr>
          <w:rFonts w:ascii="inherit" w:hAnsi="inherit" w:eastAsia="Times New Roman" w:cs="Arial"/>
          <w:color w:val="00A5E6"/>
          <w:sz w:val="26"/>
          <w:szCs w:val="26"/>
          <w:u w:val="single"/>
          <w:lang w:eastAsia="ru-RU"/>
        </w:rPr>
        <w:t>деформаций</w:t>
      </w:r>
      <w:r>
        <w:rPr>
          <w:rFonts w:ascii="inherit" w:hAnsi="inherit" w:eastAsia="Times New Roman" w:cs="Arial"/>
          <w:color w:val="00A5E6"/>
          <w:sz w:val="26"/>
          <w:szCs w:val="26"/>
          <w:u w:val="single"/>
          <w:lang w:eastAsia="ru-RU"/>
        </w:rPr>
        <w:fldChar w:fldCharType="end"/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, а следовательно, увеличивают биение насаженной детали. Поэтому область применения клиновых шпонок в настоящее время резко сократилась.</w:t>
      </w:r>
    </w:p>
    <w:p>
      <w:pPr>
        <w:spacing w:after="180" w:line="240" w:lineRule="auto"/>
        <w:textAlignment w:val="baseline"/>
        <w:outlineLvl w:val="0"/>
        <w:rPr>
          <w:rFonts w:ascii="Times New Roman" w:hAnsi="Times New Roman" w:eastAsia="Times New Roman" w:cs="Times New Roman"/>
          <w:caps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aps/>
          <w:kern w:val="36"/>
          <w:sz w:val="28"/>
          <w:szCs w:val="28"/>
          <w:lang w:eastAsia="ru-RU"/>
        </w:rPr>
        <w:t>РАСЧЕТ ШЛИЦЕВЫХ СОЕДИНЕНИЙ</w:t>
      </w: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Шлицевое соединение условно можно рассматривать как многошпоночное, у которого шпонки выполнены за одно целое с </w:t>
      </w:r>
      <w:r>
        <w:fldChar w:fldCharType="begin"/>
      </w:r>
      <w:r>
        <w:instrText xml:space="preserve"> HYPERLINK "https://isopromat.ru/dm/lekcii-po-detalyam-mashin/valy-i-osi" </w:instrText>
      </w:r>
      <w:r>
        <w:fldChar w:fldCharType="separate"/>
      </w:r>
      <w:r>
        <w:rPr>
          <w:rFonts w:ascii="inherit" w:hAnsi="inherit" w:eastAsia="Times New Roman" w:cs="Arial"/>
          <w:color w:val="00A5E6"/>
          <w:sz w:val="26"/>
          <w:szCs w:val="26"/>
          <w:u w:val="single"/>
          <w:lang w:eastAsia="ru-RU"/>
        </w:rPr>
        <w:t>валом</w:t>
      </w:r>
      <w:r>
        <w:rPr>
          <w:rFonts w:ascii="inherit" w:hAnsi="inherit" w:eastAsia="Times New Roman" w:cs="Arial"/>
          <w:color w:val="00A5E6"/>
          <w:sz w:val="26"/>
          <w:szCs w:val="26"/>
          <w:u w:val="single"/>
          <w:lang w:eastAsia="ru-RU"/>
        </w:rPr>
        <w:fldChar w:fldCharType="end"/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. Их применяют для неподвижного и подвижного соединения валов со ступицами деталей.</w:t>
      </w: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По сравнению со </w:t>
      </w:r>
      <w:r>
        <w:fldChar w:fldCharType="begin"/>
      </w:r>
      <w:r>
        <w:instrText xml:space="preserve"> HYPERLINK "https://isopromat.ru/dm/lekcii-po-detalyam-mashin/raschet-shponochnyh-soedinenij" </w:instrText>
      </w:r>
      <w:r>
        <w:fldChar w:fldCharType="separate"/>
      </w:r>
      <w:r>
        <w:rPr>
          <w:rFonts w:ascii="inherit" w:hAnsi="inherit" w:eastAsia="Times New Roman" w:cs="Arial"/>
          <w:color w:val="00A5E6"/>
          <w:sz w:val="26"/>
          <w:szCs w:val="26"/>
          <w:u w:val="single"/>
          <w:lang w:eastAsia="ru-RU"/>
        </w:rPr>
        <w:t>шпоночными соединениями</w:t>
      </w:r>
      <w:r>
        <w:rPr>
          <w:rFonts w:ascii="inherit" w:hAnsi="inherit" w:eastAsia="Times New Roman" w:cs="Arial"/>
          <w:color w:val="00A5E6"/>
          <w:sz w:val="26"/>
          <w:szCs w:val="26"/>
          <w:u w:val="single"/>
          <w:lang w:eastAsia="ru-RU"/>
        </w:rPr>
        <w:fldChar w:fldCharType="end"/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 они имеют меньшие радиальные габариты, высокую несущую способность, взаимозаменяемы и обеспечивают хорошее центрирование </w:t>
      </w:r>
      <w:r>
        <w:fldChar w:fldCharType="begin"/>
      </w:r>
      <w:r>
        <w:instrText xml:space="preserve"> HYPERLINK "https://isopromat.ru/tmm/kratkij-kurs/osnovnye-ponyatia" </w:instrText>
      </w:r>
      <w:r>
        <w:fldChar w:fldCharType="separate"/>
      </w:r>
      <w:r>
        <w:rPr>
          <w:rFonts w:ascii="inherit" w:hAnsi="inherit" w:eastAsia="Times New Roman" w:cs="Arial"/>
          <w:color w:val="00A5E6"/>
          <w:sz w:val="26"/>
          <w:szCs w:val="26"/>
          <w:u w:val="single"/>
          <w:lang w:eastAsia="ru-RU"/>
        </w:rPr>
        <w:t>деталей</w:t>
      </w:r>
      <w:r>
        <w:rPr>
          <w:rFonts w:ascii="inherit" w:hAnsi="inherit" w:eastAsia="Times New Roman" w:cs="Arial"/>
          <w:color w:val="00A5E6"/>
          <w:sz w:val="26"/>
          <w:szCs w:val="26"/>
          <w:u w:val="single"/>
          <w:lang w:eastAsia="ru-RU"/>
        </w:rPr>
        <w:fldChar w:fldCharType="end"/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. По форме поперечного сечения различают три типа соединений: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прямобочные,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fldChar w:fldCharType="begin"/>
      </w:r>
      <w:r>
        <w:instrText xml:space="preserve"> HYPERLINK "https://isopromat.ru/tmm/kratkij-kurs/evolventnoe-zaceplenie" </w:instrText>
      </w:r>
      <w:r>
        <w:fldChar w:fldCharType="separate"/>
      </w:r>
      <w:r>
        <w:rPr>
          <w:rFonts w:ascii="inherit" w:hAnsi="inherit" w:eastAsia="Times New Roman" w:cs="Arial"/>
          <w:color w:val="00A5E6"/>
          <w:sz w:val="26"/>
          <w:szCs w:val="26"/>
          <w:u w:val="single"/>
          <w:lang w:eastAsia="ru-RU"/>
        </w:rPr>
        <w:t>эвольвентные</w:t>
      </w:r>
      <w:r>
        <w:rPr>
          <w:rFonts w:ascii="inherit" w:hAnsi="inherit" w:eastAsia="Times New Roman" w:cs="Arial"/>
          <w:color w:val="00A5E6"/>
          <w:sz w:val="26"/>
          <w:szCs w:val="26"/>
          <w:u w:val="single"/>
          <w:lang w:eastAsia="ru-RU"/>
        </w:rPr>
        <w:fldChar w:fldCharType="end"/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,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треугольные.</w:t>
      </w: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drawing>
          <wp:inline distT="0" distB="0" distL="0" distR="0">
            <wp:extent cx="2962275" cy="1971675"/>
            <wp:effectExtent l="0" t="0" r="9525" b="9525"/>
            <wp:docPr id="10" name="Рисунок 10" descr="Прямобочное шлицевое зацеп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Прямобочное шлицевое зацепле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drawing>
          <wp:inline distT="0" distB="0" distL="0" distR="0">
            <wp:extent cx="2962275" cy="1809750"/>
            <wp:effectExtent l="0" t="0" r="9525" b="0"/>
            <wp:docPr id="11" name="Рисунок 11" descr="Эвольвентное и треугольное шлицевые зацеп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Эвольвентное и треугольное шлицевые зацеплени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360" w:line="240" w:lineRule="auto"/>
        <w:jc w:val="center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Основные типы зубчатых соединений: </w:t>
      </w:r>
    </w:p>
    <w:p>
      <w:pPr>
        <w:shd w:val="clear" w:color="auto" w:fill="FFFFFF"/>
        <w:spacing w:after="0" w:line="240" w:lineRule="auto"/>
        <w:jc w:val="center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а — прямобочное;</w:t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br w:type="textWrapping"/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б — эвольвентное;</w:t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br w:type="textWrapping"/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в — треугольное</w:t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br w:type="textWrapping"/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Рисунок 27</w:t>
      </w:r>
    </w:p>
    <w:p>
      <w:pPr>
        <w:shd w:val="clear" w:color="auto" w:fill="FFFFFF"/>
        <w:spacing w:after="36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Соединения с прямобочными зубьями наиболее распространены в машиностроении. В зависимости от числа зубьев и их высоты стандартом предусмотрены три серии соединений для валов с диаметром от 23 до 125 мм.</w:t>
      </w: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Соединения с треугольными зубьями применяют преимущественно в приборостроении при малых радиальных габаритах. </w:t>
      </w:r>
      <w:r>
        <w:fldChar w:fldCharType="begin"/>
      </w:r>
      <w:r>
        <w:instrText xml:space="preserve"> HYPERLINK "https://isopromat.ru/sopromat/teoria/uslovie-prochnosti" </w:instrText>
      </w:r>
      <w:r>
        <w:fldChar w:fldCharType="separate"/>
      </w:r>
      <w:r>
        <w:rPr>
          <w:rFonts w:ascii="inherit" w:hAnsi="inherit" w:eastAsia="Times New Roman" w:cs="Arial"/>
          <w:color w:val="00A5E6"/>
          <w:sz w:val="26"/>
          <w:szCs w:val="26"/>
          <w:u w:val="single"/>
          <w:lang w:eastAsia="ru-RU"/>
        </w:rPr>
        <w:t>Условие прочности</w:t>
      </w:r>
      <w:r>
        <w:rPr>
          <w:rFonts w:ascii="inherit" w:hAnsi="inherit" w:eastAsia="Times New Roman" w:cs="Arial"/>
          <w:color w:val="00A5E6"/>
          <w:sz w:val="26"/>
          <w:szCs w:val="26"/>
          <w:u w:val="single"/>
          <w:lang w:eastAsia="ru-RU"/>
        </w:rPr>
        <w:fldChar w:fldCharType="end"/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 по </w:t>
      </w:r>
      <w:r>
        <w:fldChar w:fldCharType="begin"/>
      </w:r>
      <w:r>
        <w:instrText xml:space="preserve"> HYPERLINK "https://isopromat.ru/sopromat/teoria/dopustimoe-napryazhenie" </w:instrText>
      </w:r>
      <w:r>
        <w:fldChar w:fldCharType="separate"/>
      </w:r>
      <w:r>
        <w:rPr>
          <w:rFonts w:ascii="inherit" w:hAnsi="inherit" w:eastAsia="Times New Roman" w:cs="Arial"/>
          <w:color w:val="00A5E6"/>
          <w:sz w:val="26"/>
          <w:szCs w:val="26"/>
          <w:u w:val="single"/>
          <w:lang w:eastAsia="ru-RU"/>
        </w:rPr>
        <w:t>допускаемым напряжениям</w:t>
      </w:r>
      <w:r>
        <w:rPr>
          <w:rFonts w:ascii="inherit" w:hAnsi="inherit" w:eastAsia="Times New Roman" w:cs="Arial"/>
          <w:color w:val="00A5E6"/>
          <w:sz w:val="26"/>
          <w:szCs w:val="26"/>
          <w:u w:val="single"/>
          <w:lang w:eastAsia="ru-RU"/>
        </w:rPr>
        <w:fldChar w:fldCharType="end"/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 имеет вид</w:t>
      </w: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drawing>
          <wp:inline distT="0" distB="0" distL="0" distR="0">
            <wp:extent cx="2238375" cy="685800"/>
            <wp:effectExtent l="0" t="0" r="9525" b="0"/>
            <wp:docPr id="12" name="Рисунок 12" descr="https://isopromat.ru/wp-content/uploads/is-3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https://isopromat.ru/wp-content/uploads/is-30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Здесь </w:t>
      </w:r>
      <w:r>
        <w:rPr>
          <w:rFonts w:ascii="inherit" w:hAnsi="inherit" w:eastAsia="Times New Roman" w:cs="Arial"/>
          <w:i/>
          <w:iCs/>
          <w:color w:val="2B2B2B"/>
          <w:sz w:val="26"/>
          <w:szCs w:val="26"/>
          <w:lang w:eastAsia="ru-RU"/>
        </w:rPr>
        <w:t>d</w:t>
      </w:r>
      <w:r>
        <w:rPr>
          <w:rFonts w:ascii="inherit" w:hAnsi="inherit" w:eastAsia="Times New Roman" w:cs="Arial"/>
          <w:i/>
          <w:iCs/>
          <w:color w:val="2B2B2B"/>
          <w:sz w:val="19"/>
          <w:szCs w:val="19"/>
          <w:vertAlign w:val="subscript"/>
          <w:lang w:eastAsia="ru-RU"/>
        </w:rPr>
        <w:t>m</w:t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 — средний диаметр соединения;</w:t>
      </w: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i/>
          <w:iCs/>
          <w:color w:val="2B2B2B"/>
          <w:sz w:val="26"/>
          <w:szCs w:val="26"/>
          <w:lang w:eastAsia="ru-RU"/>
        </w:rPr>
        <w:t>z</w:t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 — число зубьев;</w:t>
      </w: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i/>
          <w:iCs/>
          <w:color w:val="2B2B2B"/>
          <w:sz w:val="26"/>
          <w:szCs w:val="26"/>
          <w:lang w:eastAsia="ru-RU"/>
        </w:rPr>
        <w:t>h</w:t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 — высота зуба;</w:t>
      </w: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Times New Roman"/>
          <w:i/>
          <w:iCs/>
          <w:color w:val="2B2B2B"/>
          <w:sz w:val="26"/>
          <w:szCs w:val="26"/>
          <w:lang w:eastAsia="ru-RU"/>
        </w:rPr>
        <w:t>l</w:t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 — длина поверхности контакта зубьев;</w:t>
      </w: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2B2B2B"/>
          <w:sz w:val="36"/>
          <w:szCs w:val="36"/>
          <w:lang w:eastAsia="ru-RU"/>
        </w:rPr>
        <w:t>ψ</w:t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=0,7-0,8 — коэффициент, учитывающий концентрацию контактных давлений на краях соединения.</w:t>
      </w: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Выполнение задания:</w:t>
      </w:r>
    </w:p>
    <w:p>
      <w:pPr>
        <w:pStyle w:val="8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Законспектировать справочный материал</w:t>
      </w:r>
    </w:p>
    <w:p>
      <w:pPr>
        <w:pStyle w:val="8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hint="eastAsia" w:ascii="inherit" w:hAnsi="inherit" w:eastAsia="Times New Roman" w:cs="Arial"/>
          <w:color w:val="2B2B2B"/>
          <w:sz w:val="26"/>
          <w:szCs w:val="26"/>
          <w:lang w:eastAsia="ru-RU"/>
        </w:rPr>
        <w:t>В</w:t>
      </w: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ыполнить самостоятельную работу</w:t>
      </w: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 xml:space="preserve">                                Самостоятельная работа</w:t>
      </w: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</w:p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  <w:r>
        <w:rPr>
          <w:rFonts w:ascii="inherit" w:hAnsi="inherit" w:eastAsia="Times New Roman" w:cs="Arial"/>
          <w:color w:val="2B2B2B"/>
          <w:sz w:val="26"/>
          <w:szCs w:val="26"/>
          <w:lang w:eastAsia="ru-RU"/>
        </w:rPr>
        <w:t>Решить задачи</w:t>
      </w:r>
    </w:p>
    <w:p>
      <w:pPr>
        <w:pStyle w:val="3"/>
        <w:spacing w:before="90" w:beforeAutospacing="0" w:after="90" w:afterAutospacing="0"/>
        <w:ind w:left="90" w:right="525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drawing>
          <wp:inline distT="0" distB="0" distL="0" distR="0">
            <wp:extent cx="2028825" cy="1504950"/>
            <wp:effectExtent l="0" t="0" r="9525" b="0"/>
            <wp:docPr id="13" name="Рисунок 13" descr="https://konspekta.net/mydocxru/baza11/1212043014.files/image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https://konspekta.net/mydocxru/baza11/1212043014.files/image36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before="90" w:beforeAutospacing="0" w:after="90" w:afterAutospacing="0"/>
        <w:ind w:left="90" w:right="525"/>
        <w:rPr>
          <w:color w:val="424242"/>
        </w:rPr>
      </w:pPr>
      <w:r>
        <w:rPr>
          <w:rStyle w:val="5"/>
          <w:color w:val="424242"/>
        </w:rPr>
        <w:t>Пример 1.</w:t>
      </w:r>
      <w:r>
        <w:rPr>
          <w:color w:val="424242"/>
        </w:rPr>
        <w:t> Определить потребное количество заклепок для пе</w:t>
      </w:r>
      <w:r>
        <w:rPr>
          <w:color w:val="424242"/>
        </w:rPr>
        <w:softHyphen/>
      </w:r>
      <w:r>
        <w:rPr>
          <w:color w:val="424242"/>
        </w:rPr>
        <w:t>редачи внешней нагрузки 120 кН. Заклепки расположить в один ряд. Проверить прочность соединяемых листов. Известно: [</w:t>
      </w:r>
      <w:r>
        <w:rPr>
          <w:i/>
          <w:iCs/>
          <w:color w:val="424242"/>
        </w:rPr>
        <w:t>σ</w:t>
      </w:r>
      <w:r>
        <w:rPr>
          <w:color w:val="424242"/>
        </w:rPr>
        <w:t>] = 160МПа; [σ</w:t>
      </w:r>
      <w:r>
        <w:rPr>
          <w:color w:val="424242"/>
          <w:vertAlign w:val="subscript"/>
        </w:rPr>
        <w:t>см</w:t>
      </w:r>
      <w:r>
        <w:rPr>
          <w:color w:val="424242"/>
        </w:rPr>
        <w:t>] = 300 МПа; [</w:t>
      </w:r>
      <w:r>
        <w:rPr>
          <w:i/>
          <w:iCs/>
          <w:color w:val="424242"/>
        </w:rPr>
        <w:t>τ</w:t>
      </w:r>
      <w:r>
        <w:rPr>
          <w:color w:val="424242"/>
          <w:vertAlign w:val="subscript"/>
        </w:rPr>
        <w:t>с</w:t>
      </w:r>
      <w:r>
        <w:rPr>
          <w:color w:val="424242"/>
        </w:rPr>
        <w:t>] = 100 МПа; диаметр заклепок 16 мм.</w:t>
      </w:r>
    </w:p>
    <w:p>
      <w:pPr>
        <w:pStyle w:val="3"/>
        <w:spacing w:before="90" w:beforeAutospacing="0" w:after="90" w:afterAutospacing="0"/>
        <w:ind w:left="90" w:right="525"/>
        <w:rPr>
          <w:rFonts w:ascii="Verdana" w:hAnsi="Verdana"/>
          <w:color w:val="424242"/>
        </w:rPr>
      </w:pPr>
    </w:p>
    <w:p>
      <w:pPr>
        <w:spacing w:before="90" w:after="90" w:line="240" w:lineRule="auto"/>
        <w:ind w:left="90" w:right="525"/>
        <w:rPr>
          <w:rFonts w:ascii="Times New Roman" w:hAnsi="Times New Roman" w:eastAsia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424242"/>
          <w:sz w:val="24"/>
          <w:szCs w:val="24"/>
          <w:lang w:eastAsia="ru-RU"/>
        </w:rPr>
        <w:t>Пример 2.</w:t>
      </w:r>
      <w:r>
        <w:rPr>
          <w:rFonts w:ascii="Times New Roman" w:hAnsi="Times New Roman" w:eastAsia="Times New Roman" w:cs="Times New Roman"/>
          <w:color w:val="424242"/>
          <w:sz w:val="24"/>
          <w:szCs w:val="24"/>
          <w:lang w:eastAsia="ru-RU"/>
        </w:rPr>
        <w:t> Проверить прочность заклепочного соединения на срез и смятие. Нагрузка на соединение 60 кН, [</w:t>
      </w:r>
      <w:r>
        <w:rPr>
          <w:rFonts w:ascii="Times New Roman" w:hAnsi="Times New Roman" w:eastAsia="Times New Roman" w:cs="Times New Roman"/>
          <w:i/>
          <w:iCs/>
          <w:color w:val="424242"/>
          <w:sz w:val="24"/>
          <w:szCs w:val="24"/>
          <w:lang w:eastAsia="ru-RU"/>
        </w:rPr>
        <w:t>τ</w:t>
      </w:r>
      <w:r>
        <w:rPr>
          <w:rFonts w:ascii="Times New Roman" w:hAnsi="Times New Roman" w:eastAsia="Times New Roman" w:cs="Times New Roman"/>
          <w:color w:val="424242"/>
          <w:sz w:val="24"/>
          <w:szCs w:val="24"/>
          <w:vertAlign w:val="subscript"/>
          <w:lang w:eastAsia="ru-RU"/>
        </w:rPr>
        <w:t>с</w:t>
      </w:r>
      <w:r>
        <w:rPr>
          <w:rFonts w:ascii="Times New Roman" w:hAnsi="Times New Roman" w:eastAsia="Times New Roman" w:cs="Times New Roman"/>
          <w:color w:val="424242"/>
          <w:sz w:val="24"/>
          <w:szCs w:val="24"/>
          <w:lang w:eastAsia="ru-RU"/>
        </w:rPr>
        <w:t>] = 100 МПа; [</w:t>
      </w:r>
      <w:r>
        <w:rPr>
          <w:rFonts w:ascii="Times New Roman" w:hAnsi="Times New Roman" w:eastAsia="Times New Roman" w:cs="Times New Roman"/>
          <w:i/>
          <w:iCs/>
          <w:color w:val="424242"/>
          <w:sz w:val="24"/>
          <w:szCs w:val="24"/>
          <w:lang w:eastAsia="ru-RU"/>
        </w:rPr>
        <w:t>σ</w:t>
      </w:r>
      <w:r>
        <w:rPr>
          <w:rFonts w:ascii="Times New Roman" w:hAnsi="Times New Roman" w:eastAsia="Times New Roman" w:cs="Times New Roman"/>
          <w:color w:val="424242"/>
          <w:sz w:val="24"/>
          <w:szCs w:val="24"/>
          <w:vertAlign w:val="subscript"/>
          <w:lang w:eastAsia="ru-RU"/>
        </w:rPr>
        <w:t>см</w:t>
      </w:r>
      <w:r>
        <w:rPr>
          <w:rFonts w:ascii="Times New Roman" w:hAnsi="Times New Roman" w:eastAsia="Times New Roman" w:cs="Times New Roman"/>
          <w:color w:val="424242"/>
          <w:sz w:val="24"/>
          <w:szCs w:val="24"/>
          <w:lang w:eastAsia="ru-RU"/>
        </w:rPr>
        <w:t>] = 240 МПа.</w:t>
      </w:r>
    </w:p>
    <w:p>
      <w:pPr>
        <w:spacing w:before="90" w:after="90" w:line="240" w:lineRule="auto"/>
        <w:ind w:left="90" w:right="525"/>
        <w:rPr>
          <w:rFonts w:ascii="Times New Roman" w:hAnsi="Times New Roman" w:eastAsia="Times New Roman" w:cs="Times New Roman"/>
          <w:color w:val="424242"/>
          <w:sz w:val="24"/>
          <w:szCs w:val="24"/>
          <w:lang w:eastAsia="ru-RU"/>
        </w:rPr>
      </w:pPr>
    </w:p>
    <w:tbl>
      <w:tblPr>
        <w:tblStyle w:val="6"/>
        <w:tblW w:w="0" w:type="auto"/>
        <w:tblCellSpacing w:w="15" w:type="dxa"/>
        <w:tblInd w:w="1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8"/>
        <w:gridCol w:w="73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50" w:after="150" w:line="240" w:lineRule="auto"/>
              <w:ind w:left="150" w:right="150"/>
              <w:rPr>
                <w:rFonts w:ascii="Tahoma" w:hAnsi="Tahoma" w:eastAsia="Times New Roman" w:cs="Tahoma"/>
                <w:color w:val="424242"/>
                <w:sz w:val="20"/>
                <w:szCs w:val="20"/>
                <w:lang w:eastAsia="ru-RU"/>
              </w:rPr>
            </w:pPr>
            <w:r>
              <w:rPr>
                <w:rFonts w:ascii="Tahoma" w:hAnsi="Tahoma" w:eastAsia="Times New Roman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50" w:after="150" w:line="240" w:lineRule="auto"/>
              <w:ind w:left="150" w:right="150"/>
              <w:rPr>
                <w:rFonts w:ascii="Tahoma" w:hAnsi="Tahoma" w:eastAsia="Times New Roman" w:cs="Tahoma"/>
                <w:color w:val="424242"/>
                <w:sz w:val="20"/>
                <w:szCs w:val="20"/>
                <w:lang w:eastAsia="ru-RU"/>
              </w:rPr>
            </w:pPr>
            <w:r>
              <w:rPr>
                <w:rFonts w:ascii="Tahoma" w:hAnsi="Tahoma" w:eastAsia="Times New Roman" w:cs="Tahoma"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4371975" cy="1543050"/>
                  <wp:effectExtent l="0" t="0" r="9525" b="0"/>
                  <wp:docPr id="14" name="Рисунок 14" descr="https://konspekta.net/mydocxru/baza11/1212043014.files/image3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https://konspekta.net/mydocxru/baza11/1212043014.files/image3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color w:val="2B2B2B"/>
          <w:sz w:val="26"/>
          <w:szCs w:val="26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16B"/>
    <w:multiLevelType w:val="multilevel"/>
    <w:tmpl w:val="0184516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56478"/>
    <w:multiLevelType w:val="multilevel"/>
    <w:tmpl w:val="4875647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94"/>
    <w:rsid w:val="00296CE8"/>
    <w:rsid w:val="00564580"/>
    <w:rsid w:val="009A5694"/>
    <w:rsid w:val="00A52F4C"/>
    <w:rsid w:val="00B417DD"/>
    <w:rsid w:val="00F71318"/>
    <w:rsid w:val="1468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Текст выноски Знак"/>
    <w:basedOn w:val="4"/>
    <w:link w:val="2"/>
    <w:semiHidden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714</Words>
  <Characters>4072</Characters>
  <Lines>33</Lines>
  <Paragraphs>9</Paragraphs>
  <TotalTime>51</TotalTime>
  <ScaleCrop>false</ScaleCrop>
  <LinksUpToDate>false</LinksUpToDate>
  <CharactersWithSpaces>4777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2020-04-05T08:07:00Z</dcterms:created>
  <dc:creator>мамочка</dc:creator>
  <cp:lastModifiedBy>user</cp:lastModifiedBy>
  <dcterms:modified xsi:type="dcterms:W3CDTF">2020-04-05T15:05:19Z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1049-11.2.0.9255</vt:lpwstr>
  </property>
</Properties>
</file>